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Paralympic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),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),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 here and have a bit of a chat,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 love it.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just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Lexington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Okay.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unceded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Paralympian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;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powerlifting,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powerlifting,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dysphoria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Paralympian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Paralympians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pedestalling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Paralympian.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Correct.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Paralympian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'90s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love it.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Paralympian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wonderful.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I'm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Like you said,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hassle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think it was a step outside of that comfort zone, even though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It was 30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Yes.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No, it's true.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this.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best we could do.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Oh, he's a little one.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Oh, yeah.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goodness.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Yeah.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Oh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00:15:49]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Really?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Oh my goodness.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We were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"Whoa. Zed's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Like, "This feels weird."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Anyway, so I had to get us-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feel sometimes when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00:16:35]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then I turned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work.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Lexington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 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me about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cahoots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bananas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bananas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Oh my gosh.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00:19:02]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when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Lexington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Lexington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Paralympic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Lexington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Lexington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Lexington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games.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love it. I love it.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He always has been. And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Yes.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Lexington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mean?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grudges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to go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God.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javelin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javelin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-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Right.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That's right.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2SLGBTQIA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+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Thank you.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 Murby: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Central_Bark_A_GDB_Podcast_Ness_Murby_REVISED (Completed  06/14/23)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